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D5AC6" w14:textId="1EA51AEF" w:rsidR="00867BF2" w:rsidRDefault="00867BF2" w:rsidP="00867BF2">
      <w:pPr>
        <w:jc w:val="center"/>
        <w:rPr>
          <w:rFonts w:ascii="Arial" w:hAnsi="Arial" w:cs="Arial"/>
          <w:b/>
          <w:bCs/>
          <w:sz w:val="28"/>
          <w:szCs w:val="28"/>
          <w:u w:val="single"/>
        </w:rPr>
      </w:pPr>
      <w:r>
        <w:rPr>
          <w:rFonts w:ascii="Arial" w:hAnsi="Arial" w:cs="Arial"/>
          <w:b/>
          <w:bCs/>
          <w:noProof/>
          <w:sz w:val="28"/>
          <w:szCs w:val="28"/>
          <w:u w:val="single"/>
        </w:rPr>
        <mc:AlternateContent>
          <mc:Choice Requires="wps">
            <w:drawing>
              <wp:anchor distT="0" distB="0" distL="114300" distR="114300" simplePos="0" relativeHeight="251659264" behindDoc="0" locked="0" layoutInCell="1" allowOverlap="1" wp14:anchorId="3F06F780" wp14:editId="4F68B4CB">
                <wp:simplePos x="0" y="0"/>
                <wp:positionH relativeFrom="column">
                  <wp:posOffset>4562475</wp:posOffset>
                </wp:positionH>
                <wp:positionV relativeFrom="paragraph">
                  <wp:posOffset>-209550</wp:posOffset>
                </wp:positionV>
                <wp:extent cx="371475" cy="790575"/>
                <wp:effectExtent l="0" t="38100" r="66675" b="28575"/>
                <wp:wrapNone/>
                <wp:docPr id="1" name="Straight Arrow Connector 1"/>
                <wp:cNvGraphicFramePr/>
                <a:graphic xmlns:a="http://schemas.openxmlformats.org/drawingml/2006/main">
                  <a:graphicData uri="http://schemas.microsoft.com/office/word/2010/wordprocessingShape">
                    <wps:wsp>
                      <wps:cNvCnPr/>
                      <wps:spPr>
                        <a:xfrm flipV="1">
                          <a:off x="0" y="0"/>
                          <a:ext cx="371475" cy="790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4F5C1C8" id="_x0000_t32" coordsize="21600,21600" o:spt="32" o:oned="t" path="m,l21600,21600e" filled="f">
                <v:path arrowok="t" fillok="f" o:connecttype="none"/>
                <o:lock v:ext="edit" shapetype="t"/>
              </v:shapetype>
              <v:shape id="Straight Arrow Connector 1" o:spid="_x0000_s1026" type="#_x0000_t32" style="position:absolute;margin-left:359.25pt;margin-top:-16.5pt;width:29.25pt;height:62.2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" strokecolor="black [3200]" strokeweight=".5pt">
                <v:stroke endarrow="block" joinstyle="miter"/>
              </v:shape>
            </w:pict>
          </mc:Fallback>
        </mc:AlternateContent>
      </w:r>
    </w:p>
    <w:p w14:paraId="39F2E594" w14:textId="6E0A27F9" w:rsidR="00867BF2" w:rsidRDefault="00867BF2" w:rsidP="00867BF2">
      <w:pPr>
        <w:jc w:val="center"/>
        <w:rPr>
          <w:rFonts w:ascii="Arial" w:hAnsi="Arial" w:cs="Arial"/>
          <w:b/>
          <w:bCs/>
          <w:sz w:val="28"/>
          <w:szCs w:val="28"/>
          <w:u w:val="single"/>
        </w:rPr>
      </w:pPr>
      <w:r w:rsidRPr="00867BF2">
        <w:rPr>
          <w:rFonts w:ascii="Arial" w:hAnsi="Arial" w:cs="Arial"/>
          <w:b/>
          <w:bCs/>
          <w:sz w:val="28"/>
          <w:szCs w:val="28"/>
          <w:u w:val="single"/>
        </w:rPr>
        <w:t>Frequently Asked Questions</w:t>
      </w:r>
    </w:p>
    <w:p w14:paraId="56191637" w14:textId="5BEDD0C6" w:rsidR="00867BF2" w:rsidRDefault="00867BF2" w:rsidP="00867BF2">
      <w:pPr>
        <w:rPr>
          <w:rFonts w:ascii="Arial" w:hAnsi="Arial" w:cs="Arial"/>
          <w:sz w:val="24"/>
          <w:szCs w:val="24"/>
        </w:rPr>
      </w:pPr>
      <w:r w:rsidRPr="00867BF2">
        <w:rPr>
          <w:rFonts w:ascii="Arial" w:hAnsi="Arial" w:cs="Arial"/>
          <w:sz w:val="24"/>
          <w:szCs w:val="24"/>
        </w:rPr>
        <w:t xml:space="preserve">This list may be updated periodically, please check back to see if anything </w:t>
      </w:r>
      <w:r>
        <w:rPr>
          <w:rFonts w:ascii="Arial" w:hAnsi="Arial" w:cs="Arial"/>
          <w:sz w:val="24"/>
          <w:szCs w:val="24"/>
        </w:rPr>
        <w:t>new has been added.</w:t>
      </w:r>
    </w:p>
    <w:p w14:paraId="4D6F25CE" w14:textId="3C0A1C90" w:rsidR="00867BF2" w:rsidRDefault="00867BF2" w:rsidP="00867BF2">
      <w:pPr>
        <w:rPr>
          <w:rFonts w:ascii="Arial" w:hAnsi="Arial" w:cs="Arial"/>
          <w:sz w:val="24"/>
          <w:szCs w:val="24"/>
        </w:rPr>
      </w:pPr>
    </w:p>
    <w:p w14:paraId="505F41E1" w14:textId="29E7025A" w:rsidR="00577985" w:rsidRDefault="00577985" w:rsidP="00867BF2">
      <w:pPr>
        <w:pStyle w:val="ListParagraph"/>
        <w:numPr>
          <w:ilvl w:val="0"/>
          <w:numId w:val="1"/>
        </w:numPr>
        <w:rPr>
          <w:rFonts w:ascii="Arial" w:hAnsi="Arial" w:cs="Arial"/>
          <w:b/>
          <w:bCs/>
          <w:sz w:val="24"/>
          <w:szCs w:val="24"/>
        </w:rPr>
      </w:pPr>
      <w:r>
        <w:rPr>
          <w:rFonts w:ascii="Arial" w:hAnsi="Arial" w:cs="Arial"/>
          <w:b/>
          <w:bCs/>
          <w:sz w:val="24"/>
          <w:szCs w:val="24"/>
        </w:rPr>
        <w:t>Is it possible to file your nomination online?</w:t>
      </w:r>
    </w:p>
    <w:p w14:paraId="3098B575" w14:textId="3BEA20E1" w:rsidR="00577985" w:rsidRPr="00577985" w:rsidRDefault="00577985" w:rsidP="00577985">
      <w:pPr>
        <w:ind w:left="360"/>
        <w:rPr>
          <w:rFonts w:ascii="Arial" w:hAnsi="Arial" w:cs="Arial"/>
          <w:sz w:val="24"/>
          <w:szCs w:val="24"/>
        </w:rPr>
      </w:pPr>
      <w:r w:rsidRPr="00577985">
        <w:rPr>
          <w:rFonts w:ascii="Arial" w:hAnsi="Arial" w:cs="Arial"/>
          <w:sz w:val="24"/>
          <w:szCs w:val="24"/>
        </w:rPr>
        <w:t>No. Candidates must file their nomination papers in-person or by an agent, by appointment with the Clerk or Deputy Returning Officer</w:t>
      </w:r>
    </w:p>
    <w:p w14:paraId="327E73EC" w14:textId="2D5C7E1F" w:rsidR="00867BF2" w:rsidRPr="00867BF2" w:rsidRDefault="00867BF2" w:rsidP="00867BF2">
      <w:pPr>
        <w:pStyle w:val="ListParagraph"/>
        <w:numPr>
          <w:ilvl w:val="0"/>
          <w:numId w:val="1"/>
        </w:numPr>
        <w:rPr>
          <w:rFonts w:ascii="Arial" w:hAnsi="Arial" w:cs="Arial"/>
          <w:b/>
          <w:bCs/>
          <w:sz w:val="24"/>
          <w:szCs w:val="24"/>
        </w:rPr>
      </w:pPr>
      <w:r w:rsidRPr="00867BF2">
        <w:rPr>
          <w:rFonts w:ascii="Arial" w:hAnsi="Arial" w:cs="Arial"/>
          <w:b/>
          <w:bCs/>
          <w:sz w:val="24"/>
          <w:szCs w:val="24"/>
        </w:rPr>
        <w:t>Do I have to open a separate bank account for election expenses?</w:t>
      </w:r>
    </w:p>
    <w:p w14:paraId="0E3159D7" w14:textId="50A8CB66" w:rsidR="00867BF2" w:rsidRPr="00867BF2" w:rsidRDefault="00867BF2" w:rsidP="00867BF2">
      <w:pPr>
        <w:ind w:firstLine="360"/>
        <w:rPr>
          <w:rFonts w:ascii="Arial" w:hAnsi="Arial" w:cs="Arial"/>
          <w:sz w:val="24"/>
          <w:szCs w:val="24"/>
        </w:rPr>
      </w:pPr>
      <w:r>
        <w:rPr>
          <w:rFonts w:ascii="Arial" w:hAnsi="Arial" w:cs="Arial"/>
          <w:sz w:val="24"/>
          <w:szCs w:val="24"/>
        </w:rPr>
        <w:t>Yes. Unless the only expense you have is your nomination filing fee.</w:t>
      </w:r>
    </w:p>
    <w:p w14:paraId="275B60A6" w14:textId="13A3A4A2" w:rsidR="00867BF2" w:rsidRDefault="00867BF2" w:rsidP="00867BF2">
      <w:pPr>
        <w:pStyle w:val="ListParagraph"/>
        <w:numPr>
          <w:ilvl w:val="0"/>
          <w:numId w:val="1"/>
        </w:numPr>
        <w:rPr>
          <w:rFonts w:ascii="Arial" w:hAnsi="Arial" w:cs="Arial"/>
          <w:b/>
          <w:bCs/>
          <w:sz w:val="24"/>
          <w:szCs w:val="24"/>
        </w:rPr>
      </w:pPr>
      <w:r w:rsidRPr="00867BF2">
        <w:rPr>
          <w:rFonts w:ascii="Arial" w:hAnsi="Arial" w:cs="Arial"/>
          <w:b/>
          <w:bCs/>
          <w:sz w:val="24"/>
          <w:szCs w:val="24"/>
        </w:rPr>
        <w:t>Are municipal signs part of Expenses</w:t>
      </w:r>
      <w:r>
        <w:rPr>
          <w:rFonts w:ascii="Arial" w:hAnsi="Arial" w:cs="Arial"/>
          <w:b/>
          <w:bCs/>
          <w:sz w:val="24"/>
          <w:szCs w:val="24"/>
        </w:rPr>
        <w:t>?</w:t>
      </w:r>
    </w:p>
    <w:p w14:paraId="07EF8723" w14:textId="1B2E9F79" w:rsidR="00867BF2" w:rsidRDefault="00867BF2" w:rsidP="00867BF2">
      <w:pPr>
        <w:ind w:left="360"/>
        <w:rPr>
          <w:rFonts w:ascii="Arial" w:hAnsi="Arial" w:cs="Arial"/>
          <w:sz w:val="24"/>
          <w:szCs w:val="24"/>
        </w:rPr>
      </w:pPr>
      <w:r w:rsidRPr="00867BF2">
        <w:rPr>
          <w:rFonts w:ascii="Arial" w:hAnsi="Arial" w:cs="Arial"/>
          <w:sz w:val="24"/>
          <w:szCs w:val="24"/>
        </w:rPr>
        <w:t xml:space="preserve">Yes, depending on the type of sign, the expense may be prorated. </w:t>
      </w:r>
    </w:p>
    <w:p w14:paraId="66A89EF3" w14:textId="64A6C368" w:rsidR="00867BF2" w:rsidRPr="00E4455E" w:rsidRDefault="00E4455E" w:rsidP="00867BF2">
      <w:pPr>
        <w:pStyle w:val="ListParagraph"/>
        <w:numPr>
          <w:ilvl w:val="0"/>
          <w:numId w:val="1"/>
        </w:numPr>
        <w:rPr>
          <w:rFonts w:ascii="Arial" w:hAnsi="Arial" w:cs="Arial"/>
          <w:b/>
          <w:bCs/>
          <w:sz w:val="24"/>
          <w:szCs w:val="24"/>
        </w:rPr>
      </w:pPr>
      <w:r w:rsidRPr="00E4455E">
        <w:rPr>
          <w:rFonts w:ascii="Arial" w:hAnsi="Arial" w:cs="Arial"/>
          <w:b/>
          <w:bCs/>
          <w:sz w:val="24"/>
          <w:szCs w:val="24"/>
        </w:rPr>
        <w:t>Do my 25 signatures have to be from individuals within the Ward I am running for?</w:t>
      </w:r>
    </w:p>
    <w:p w14:paraId="6CA3669D" w14:textId="057A56BC" w:rsidR="00E4455E" w:rsidRDefault="00E4455E" w:rsidP="00E4455E">
      <w:pPr>
        <w:ind w:left="360"/>
        <w:rPr>
          <w:rFonts w:ascii="Arial" w:hAnsi="Arial" w:cs="Arial"/>
          <w:sz w:val="24"/>
          <w:szCs w:val="24"/>
        </w:rPr>
      </w:pPr>
      <w:r>
        <w:rPr>
          <w:rFonts w:ascii="Arial" w:hAnsi="Arial" w:cs="Arial"/>
          <w:sz w:val="24"/>
          <w:szCs w:val="24"/>
        </w:rPr>
        <w:t>No, the 25 signatures can come from anyone within South Huron.</w:t>
      </w:r>
    </w:p>
    <w:p w14:paraId="3E502C0D" w14:textId="7F3B7746" w:rsidR="00577985" w:rsidRPr="00577985" w:rsidRDefault="00577985" w:rsidP="00577985">
      <w:pPr>
        <w:pStyle w:val="ListParagraph"/>
        <w:numPr>
          <w:ilvl w:val="0"/>
          <w:numId w:val="1"/>
        </w:numPr>
        <w:rPr>
          <w:rFonts w:ascii="Arial" w:hAnsi="Arial" w:cs="Arial"/>
          <w:b/>
          <w:bCs/>
          <w:sz w:val="24"/>
          <w:szCs w:val="24"/>
        </w:rPr>
      </w:pPr>
      <w:r w:rsidRPr="00577985">
        <w:rPr>
          <w:rFonts w:ascii="Arial" w:hAnsi="Arial" w:cs="Arial"/>
          <w:b/>
          <w:bCs/>
          <w:sz w:val="24"/>
          <w:szCs w:val="24"/>
        </w:rPr>
        <w:t>Do I have to live in the ward I am running for?</w:t>
      </w:r>
    </w:p>
    <w:p w14:paraId="0625A0D3" w14:textId="3E54ED4C" w:rsidR="00577985" w:rsidRPr="00E4455E" w:rsidRDefault="00577985" w:rsidP="00E4455E">
      <w:pPr>
        <w:ind w:left="360"/>
        <w:rPr>
          <w:rFonts w:ascii="Arial" w:hAnsi="Arial" w:cs="Arial"/>
          <w:sz w:val="24"/>
          <w:szCs w:val="24"/>
        </w:rPr>
      </w:pPr>
      <w:r>
        <w:rPr>
          <w:rFonts w:ascii="Arial" w:hAnsi="Arial" w:cs="Arial"/>
          <w:sz w:val="24"/>
          <w:szCs w:val="24"/>
        </w:rPr>
        <w:t>No, a</w:t>
      </w:r>
      <w:r w:rsidRPr="00577985">
        <w:rPr>
          <w:rFonts w:ascii="Arial" w:hAnsi="Arial" w:cs="Arial"/>
          <w:sz w:val="24"/>
          <w:szCs w:val="24"/>
        </w:rPr>
        <w:t xml:space="preserve"> candidate can run for office in the ward of their choice. You do not have to live in the same ward you are running in; however, you do have to vote from the address at which you reside. For example, if you live in Ward 2, but are running in Ward 3, you must vote in Ward 2. </w:t>
      </w:r>
    </w:p>
    <w:sectPr w:rsidR="00577985" w:rsidRPr="00E4455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444E9" w14:textId="77777777" w:rsidR="00125EFD" w:rsidRDefault="00125EFD" w:rsidP="00867BF2">
      <w:pPr>
        <w:spacing w:after="0" w:line="240" w:lineRule="auto"/>
      </w:pPr>
      <w:r>
        <w:separator/>
      </w:r>
    </w:p>
  </w:endnote>
  <w:endnote w:type="continuationSeparator" w:id="0">
    <w:p w14:paraId="14D4E3E6" w14:textId="77777777" w:rsidR="00125EFD" w:rsidRDefault="00125EFD" w:rsidP="00867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E4227" w14:textId="77777777" w:rsidR="00125EFD" w:rsidRDefault="00125EFD" w:rsidP="00867BF2">
      <w:pPr>
        <w:spacing w:after="0" w:line="240" w:lineRule="auto"/>
      </w:pPr>
      <w:r>
        <w:separator/>
      </w:r>
    </w:p>
  </w:footnote>
  <w:footnote w:type="continuationSeparator" w:id="0">
    <w:p w14:paraId="1FA9DEE9" w14:textId="77777777" w:rsidR="00125EFD" w:rsidRDefault="00125EFD" w:rsidP="00867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5291" w14:textId="76E15526" w:rsidR="00867BF2" w:rsidRPr="00867BF2" w:rsidRDefault="00867BF2" w:rsidP="00867BF2">
    <w:pPr>
      <w:pStyle w:val="Header"/>
      <w:jc w:val="right"/>
      <w:rPr>
        <w:b/>
        <w:bCs/>
      </w:rPr>
    </w:pPr>
    <w:r w:rsidRPr="00867BF2">
      <w:rPr>
        <w:b/>
        <w:bCs/>
        <w:highlight w:val="yellow"/>
      </w:rPr>
      <w:t xml:space="preserve">Last </w:t>
    </w:r>
    <w:r w:rsidRPr="00577985">
      <w:rPr>
        <w:b/>
        <w:bCs/>
        <w:highlight w:val="yellow"/>
      </w:rPr>
      <w:t xml:space="preserve">Updated </w:t>
    </w:r>
    <w:r w:rsidR="00577985" w:rsidRPr="00577985">
      <w:rPr>
        <w:b/>
        <w:bCs/>
        <w:highlight w:val="yellow"/>
      </w:rPr>
      <w:t>April 10, 2026</w:t>
    </w:r>
  </w:p>
  <w:p w14:paraId="56D16D66" w14:textId="77777777" w:rsidR="00867BF2" w:rsidRDefault="00867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0F37"/>
    <w:multiLevelType w:val="hybridMultilevel"/>
    <w:tmpl w:val="B97662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506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BF2"/>
    <w:rsid w:val="00124730"/>
    <w:rsid w:val="00125EFD"/>
    <w:rsid w:val="00577985"/>
    <w:rsid w:val="006B6369"/>
    <w:rsid w:val="0072700D"/>
    <w:rsid w:val="00867BF2"/>
    <w:rsid w:val="00AD1D67"/>
    <w:rsid w:val="00E4455E"/>
    <w:rsid w:val="00FE4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52F87"/>
  <w15:chartTrackingRefBased/>
  <w15:docId w15:val="{08B7830E-9DA7-43D0-9EE9-42D7BA26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BF2"/>
  </w:style>
  <w:style w:type="paragraph" w:styleId="Footer">
    <w:name w:val="footer"/>
    <w:basedOn w:val="Normal"/>
    <w:link w:val="FooterChar"/>
    <w:uiPriority w:val="99"/>
    <w:unhideWhenUsed/>
    <w:rsid w:val="00867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BF2"/>
  </w:style>
  <w:style w:type="paragraph" w:styleId="ListParagraph">
    <w:name w:val="List Paragraph"/>
    <w:basedOn w:val="Normal"/>
    <w:uiPriority w:val="34"/>
    <w:qFormat/>
    <w:rsid w:val="00867B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182</Words>
  <Characters>836</Characters>
  <Application>Microsoft Office Word</Application>
  <DocSecurity>0</DocSecurity>
  <Lines>23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Wolfe</dc:creator>
  <cp:keywords/>
  <dc:description/>
  <cp:lastModifiedBy>Alex Wolfe</cp:lastModifiedBy>
  <cp:revision>2</cp:revision>
  <dcterms:created xsi:type="dcterms:W3CDTF">2022-05-11T14:19:00Z</dcterms:created>
  <dcterms:modified xsi:type="dcterms:W3CDTF">2026-04-10T16:47:00Z</dcterms:modified>
</cp:coreProperties>
</file>